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xml" PartName="/customXML/item2.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2.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Work Sans" w:cs="Work Sans" w:eastAsia="Work Sans" w:hAnsi="Work Sans"/>
          <w:i w:val="1"/>
          <w:iCs w:val="1"/>
        </w:rPr>
      </w:pPr>
      <w:r w:rsidDel="00000000" w:rsidR="00000000" w:rsidRPr="00000000">
        <w:rPr>
          <w:rFonts w:ascii="Work Sans" w:cs="Work Sans" w:eastAsia="Work Sans" w:hAnsi="Work Sans"/>
          <w:i w:val="1"/>
          <w:iCs w:val="1"/>
          <w:rtl w:val="0"/>
        </w:rPr>
        <w:t xml:space="preserve">Submission to the Economic Development, Science and Innovation Committee</w:t>
      </w:r>
    </w:p>
    <w:p w:rsidR="00000000" w:rsidDel="00000000" w:rsidP="00000000" w:rsidRDefault="00000000" w:rsidRPr="00000000" w14:paraId="00000002">
      <w:pPr>
        <w:jc w:val="center"/>
        <w:rPr>
          <w:rFonts w:ascii="Work Sans" w:cs="Work Sans" w:eastAsia="Work Sans" w:hAnsi="Work Sans"/>
          <w:i w:val="1"/>
          <w:iCs w:val="1"/>
        </w:rPr>
      </w:pPr>
      <w:r w:rsidDel="00000000" w:rsidR="00000000" w:rsidRPr="00000000">
        <w:rPr>
          <w:rtl w:val="0"/>
        </w:rPr>
      </w:r>
    </w:p>
    <w:p w:rsidR="00000000" w:rsidDel="00000000" w:rsidP="00000000" w:rsidRDefault="00000000" w:rsidRPr="00000000" w14:paraId="00000003">
      <w:pPr>
        <w:jc w:val="center"/>
        <w:rPr>
          <w:rFonts w:ascii="Work Sans SemiBold" w:cs="Work Sans SemiBold" w:eastAsia="Work Sans SemiBold" w:hAnsi="Work Sans SemiBold"/>
          <w:i w:val="1"/>
          <w:iCs w:val="1"/>
        </w:rPr>
      </w:pPr>
      <w:r w:rsidDel="00000000" w:rsidR="00000000" w:rsidRPr="00000000">
        <w:rPr>
          <w:rFonts w:ascii="Work Sans SemiBold" w:cs="Work Sans SemiBold" w:eastAsia="Work Sans SemiBold" w:hAnsi="Work Sans SemiBold"/>
          <w:i w:val="1"/>
          <w:iCs w:val="1"/>
          <w:rtl w:val="0"/>
        </w:rPr>
        <w:t xml:space="preserve">Telecommunications Amendment Bill (Government Bill 212-1)</w:t>
      </w:r>
    </w:p>
    <w:p w:rsidR="00000000" w:rsidDel="00000000" w:rsidP="00000000" w:rsidRDefault="00000000" w:rsidRPr="00000000" w14:paraId="00000004">
      <w:pPr>
        <w:jc w:val="center"/>
        <w:rPr>
          <w:rFonts w:ascii="Work Sans SemiBold" w:cs="Work Sans SemiBold" w:eastAsia="Work Sans SemiBold" w:hAnsi="Work Sans SemiBold"/>
          <w:i w:val="1"/>
          <w:iCs w:val="1"/>
        </w:rPr>
      </w:pPr>
      <w:r w:rsidDel="00000000" w:rsidR="00000000" w:rsidRPr="00000000">
        <w:rPr>
          <w:rtl w:val="0"/>
        </w:rPr>
      </w:r>
    </w:p>
    <w:p w:rsidR="00000000" w:rsidDel="00000000" w:rsidP="00000000" w:rsidRDefault="00000000" w:rsidRPr="00000000" w14:paraId="00000005">
      <w:pPr>
        <w:jc w:val="center"/>
        <w:rPr>
          <w:rFonts w:ascii="Work Sans SemiBold" w:cs="Work Sans SemiBold" w:eastAsia="Work Sans SemiBold" w:hAnsi="Work Sans SemiBold"/>
        </w:rPr>
      </w:pPr>
      <w:r w:rsidDel="00000000" w:rsidR="00000000" w:rsidRPr="00000000">
        <w:rPr>
          <w:rFonts w:ascii="Work Sans SemiBold" w:cs="Work Sans SemiBold" w:eastAsia="Work Sans SemiBold" w:hAnsi="Work Sans SemiBold"/>
          <w:rtl w:val="0"/>
        </w:rPr>
        <w:t xml:space="preserve">Alex Stewart, Managing Director, WombatNET Limited</w:t>
      </w:r>
    </w:p>
    <w:p w:rsidR="00000000" w:rsidDel="00000000" w:rsidP="00000000" w:rsidRDefault="00000000" w:rsidRPr="00000000" w14:paraId="00000006">
      <w:pPr>
        <w:jc w:val="center"/>
        <w:rPr>
          <w:rFonts w:ascii="Work Sans" w:cs="Work Sans" w:eastAsia="Work Sans" w:hAnsi="Work Sans"/>
        </w:rPr>
      </w:pPr>
      <w:r w:rsidDel="00000000" w:rsidR="00000000" w:rsidRPr="00000000">
        <w:rPr>
          <w:rtl w:val="0"/>
        </w:rPr>
      </w:r>
    </w:p>
    <w:p w:rsidR="00000000" w:rsidDel="00000000" w:rsidP="00000000" w:rsidRDefault="00000000" w:rsidRPr="00000000" w14:paraId="00000007">
      <w:pPr>
        <w:jc w:val="center"/>
        <w:rPr>
          <w:rFonts w:ascii="Work Sans" w:cs="Work Sans" w:eastAsia="Work Sans" w:hAnsi="Work Sans"/>
        </w:rPr>
      </w:pPr>
      <w:r w:rsidDel="00000000" w:rsidR="00000000" w:rsidRPr="00000000">
        <w:rPr>
          <w:rFonts w:ascii="Work Sans" w:cs="Work Sans" w:eastAsia="Work Sans" w:hAnsi="Work Sans"/>
          <w:rtl w:val="0"/>
        </w:rPr>
        <w:t xml:space="preserve">14th January 2026</w:t>
      </w:r>
      <w:r w:rsidDel="00000000" w:rsidR="00000000" w:rsidRPr="00000000">
        <w:rPr>
          <w:rtl w:val="0"/>
        </w:rPr>
      </w:r>
    </w:p>
    <w:p w:rsidR="00000000" w:rsidDel="00000000" w:rsidP="00000000" w:rsidRDefault="00000000" w:rsidRPr="00000000" w14:paraId="00000008">
      <w:pPr>
        <w:pStyle w:val="Heading2"/>
        <w:spacing w:before="360" w:lineRule="auto"/>
        <w:ind w:left="720" w:firstLine="0"/>
        <w:rPr>
          <w:b w:val="1"/>
          <w:bCs w:val="1"/>
          <w:color w:val="434343"/>
          <w:sz w:val="34"/>
          <w:szCs w:val="34"/>
        </w:rPr>
      </w:pPr>
      <w:bookmarkStart w:colFirst="0" w:colLast="0" w:name="_heading=h.o1hkaeofog0q" w:id="0"/>
      <w:bookmarkEnd w:id="0"/>
      <w:r w:rsidDel="00000000" w:rsidR="00000000" w:rsidRPr="00000000">
        <w:rPr>
          <w:b w:val="1"/>
          <w:bCs w:val="1"/>
          <w:color w:val="434343"/>
          <w:sz w:val="34"/>
          <w:szCs w:val="34"/>
          <w:rtl w:val="0"/>
        </w:rPr>
        <w:t xml:space="preserve">1. Introduction</w:t>
      </w:r>
    </w:p>
    <w:p w:rsidR="00000000" w:rsidDel="00000000" w:rsidP="00000000" w:rsidRDefault="00000000" w:rsidRPr="00000000" w14:paraId="00000009">
      <w:pPr>
        <w:numPr>
          <w:ilvl w:val="0"/>
          <w:numId w:val="1"/>
        </w:numPr>
        <w:spacing w:after="200" w:before="240" w:line="276"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WombatNET is a regional wireless and technology services provider, covering approximately 7,500 square kilometres of rural and semi-rural New Zealand, primarily in the Wellington region. I founded the company in 2019 and have operated it for seven years, without any direct government funding.</w:t>
      </w:r>
    </w:p>
    <w:p w:rsidR="00000000" w:rsidDel="00000000" w:rsidP="00000000" w:rsidRDefault="00000000" w:rsidRPr="00000000" w14:paraId="0000000A">
      <w:pPr>
        <w:numPr>
          <w:ilvl w:val="0"/>
          <w:numId w:val="1"/>
        </w:numPr>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This submission directly relates to and supports both clause 8 and 12, but highlights an acute policy risk to domestic terrestrial capacity in rural areas.</w:t>
      </w:r>
      <w:r w:rsidDel="00000000" w:rsidR="00000000" w:rsidRPr="00000000">
        <w:rPr>
          <w:rtl w:val="0"/>
        </w:rPr>
      </w:r>
    </w:p>
    <w:p w:rsidR="00000000" w:rsidDel="00000000" w:rsidP="00000000" w:rsidRDefault="00000000" w:rsidRPr="00000000" w14:paraId="0000000B">
      <w:pPr>
        <w:pStyle w:val="Heading2"/>
        <w:ind w:left="720" w:firstLine="0"/>
        <w:rPr>
          <w:color w:val="434343"/>
        </w:rPr>
      </w:pPr>
      <w:bookmarkStart w:colFirst="0" w:colLast="0" w:name="_heading=h.o4ix52ovuuxr" w:id="1"/>
      <w:bookmarkEnd w:id="1"/>
      <w:r w:rsidDel="00000000" w:rsidR="00000000" w:rsidRPr="00000000">
        <w:rPr>
          <w:color w:val="434343"/>
          <w:rtl w:val="0"/>
        </w:rPr>
        <w:t xml:space="preserve">2. Clause 12: Statutory Rights of Access</w:t>
      </w:r>
    </w:p>
    <w:p w:rsidR="00000000" w:rsidDel="00000000" w:rsidP="00000000" w:rsidRDefault="00000000" w:rsidRPr="00000000" w14:paraId="0000000C">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Clause 12 makes permanent the statutory rights allowing fibre providers to access shared property for installations.</w:t>
      </w:r>
    </w:p>
    <w:p w:rsidR="00000000" w:rsidDel="00000000" w:rsidP="00000000" w:rsidRDefault="00000000" w:rsidRPr="00000000" w14:paraId="0000000D">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SemiBold" w:cs="Work Sans SemiBold" w:eastAsia="Work Sans SemiBold" w:hAnsi="Work Sans SemiBold"/>
          <w:rtl w:val="0"/>
        </w:rPr>
        <w:t xml:space="preserve">I support this change.</w:t>
      </w:r>
      <w:r w:rsidDel="00000000" w:rsidR="00000000" w:rsidRPr="00000000">
        <w:rPr>
          <w:rFonts w:ascii="Work Sans" w:cs="Work Sans" w:eastAsia="Work Sans" w:hAnsi="Work Sans"/>
          <w:rtl w:val="0"/>
        </w:rPr>
        <w:t xml:space="preserve"> </w:t>
      </w:r>
      <w:r w:rsidDel="00000000" w:rsidR="00000000" w:rsidRPr="00000000">
        <w:rPr>
          <w:rFonts w:ascii="Work Sans Light" w:cs="Work Sans Light" w:eastAsia="Work Sans Light" w:hAnsi="Work Sans Light"/>
          <w:rtl w:val="0"/>
        </w:rPr>
        <w:t xml:space="preserve">Permanent rights provide certainty for network investment decisions. The existing protection mechanisms for affected persons are appropriate and proportionate.</w:t>
      </w:r>
      <w:r w:rsidDel="00000000" w:rsidR="00000000" w:rsidRPr="00000000">
        <w:rPr>
          <w:rtl w:val="0"/>
        </w:rPr>
      </w:r>
    </w:p>
    <w:p w:rsidR="00000000" w:rsidDel="00000000" w:rsidP="00000000" w:rsidRDefault="00000000" w:rsidRPr="00000000" w14:paraId="0000000E">
      <w:pPr>
        <w:pStyle w:val="Heading2"/>
        <w:spacing w:before="360" w:lineRule="auto"/>
        <w:rPr>
          <w:color w:val="434343"/>
        </w:rPr>
      </w:pPr>
      <w:bookmarkStart w:colFirst="0" w:colLast="0" w:name="_heading=h.8rqdsro3el0x" w:id="2"/>
      <w:bookmarkEnd w:id="2"/>
      <w:r w:rsidDel="00000000" w:rsidR="00000000" w:rsidRPr="00000000">
        <w:rPr>
          <w:color w:val="434343"/>
          <w:rtl w:val="0"/>
        </w:rPr>
        <w:t xml:space="preserve">3. Clause 8: Support For Flexibility</w:t>
      </w:r>
    </w:p>
    <w:p w:rsidR="00000000" w:rsidDel="00000000" w:rsidP="00000000" w:rsidRDefault="00000000" w:rsidRPr="00000000" w14:paraId="0000000F">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Clause 8 inserts new section 85B, enabling the TDL amount to be prescribed by regulations rather than fixed in statute.</w:t>
      </w:r>
    </w:p>
    <w:p w:rsidR="00000000" w:rsidDel="00000000" w:rsidP="00000000" w:rsidRDefault="00000000" w:rsidRPr="00000000" w14:paraId="00000010">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SemiBold" w:cs="Work Sans SemiBold" w:eastAsia="Work Sans SemiBold" w:hAnsi="Work Sans SemiBold"/>
          <w:rtl w:val="0"/>
        </w:rPr>
        <w:t xml:space="preserve">I support this change.</w:t>
      </w:r>
      <w:r w:rsidDel="00000000" w:rsidR="00000000" w:rsidRPr="00000000">
        <w:rPr>
          <w:rFonts w:ascii="Work Sans" w:cs="Work Sans" w:eastAsia="Work Sans" w:hAnsi="Work Sans"/>
          <w:rtl w:val="0"/>
        </w:rPr>
        <w:t xml:space="preserve"> </w:t>
      </w:r>
      <w:r w:rsidDel="00000000" w:rsidR="00000000" w:rsidRPr="00000000">
        <w:rPr>
          <w:rFonts w:ascii="Work Sans Light" w:cs="Work Sans Light" w:eastAsia="Work Sans Light" w:hAnsi="Work Sans Light"/>
          <w:rtl w:val="0"/>
        </w:rPr>
        <w:t xml:space="preserve">Regulatory flexibility is appropriate given the pace of change in telecommunications markets.</w:t>
      </w:r>
    </w:p>
    <w:p w:rsidR="00000000" w:rsidDel="00000000" w:rsidP="00000000" w:rsidRDefault="00000000" w:rsidRPr="00000000" w14:paraId="00000011">
      <w:pPr>
        <w:numPr>
          <w:ilvl w:val="0"/>
          <w:numId w:val="1"/>
        </w:numPr>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While this flexibility is appropriate, the effectiveness of the levy in meeting its broader policy goals now depends critically on the criteria used to allocate the funds.</w:t>
      </w:r>
    </w:p>
    <w:p w:rsidR="00000000" w:rsidDel="00000000" w:rsidP="00000000" w:rsidRDefault="00000000" w:rsidRPr="00000000" w14:paraId="00000012">
      <w:pPr>
        <w:rPr>
          <w:rFonts w:ascii="Work Sans Light" w:cs="Work Sans Light" w:eastAsia="Work Sans Light" w:hAnsi="Work Sans Light"/>
        </w:rPr>
      </w:pPr>
      <w:r w:rsidDel="00000000" w:rsidR="00000000" w:rsidRPr="00000000">
        <w:rPr>
          <w:rtl w:val="0"/>
        </w:rPr>
      </w:r>
    </w:p>
    <w:p w:rsidR="00000000" w:rsidDel="00000000" w:rsidP="00000000" w:rsidRDefault="00000000" w:rsidRPr="00000000" w14:paraId="00000013">
      <w:pPr>
        <w:pStyle w:val="Heading2"/>
        <w:keepNext w:val="0"/>
        <w:keepLines w:val="0"/>
        <w:spacing w:before="280" w:lineRule="auto"/>
        <w:ind w:left="1440" w:firstLine="0"/>
        <w:rPr>
          <w:color w:val="434343"/>
        </w:rPr>
      </w:pPr>
      <w:bookmarkStart w:colFirst="0" w:colLast="0" w:name="_heading=h.r8lz7tmyl5qy" w:id="3"/>
      <w:bookmarkEnd w:id="3"/>
      <w:r w:rsidDel="00000000" w:rsidR="00000000" w:rsidRPr="00000000">
        <w:rPr>
          <w:color w:val="434343"/>
          <w:rtl w:val="0"/>
        </w:rPr>
        <w:t xml:space="preserve">3.1. The Critical Barrier: Allocation Frameworks</w:t>
      </w:r>
    </w:p>
    <w:p w:rsidR="00000000" w:rsidDel="00000000" w:rsidP="00000000" w:rsidRDefault="00000000" w:rsidRPr="00000000" w14:paraId="00000014">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 Bill modernises the mechanism for setting the levy amount. Allocation of levy funds is governed by existing provisions (section 90) and is not amended by this Bill.</w:t>
      </w:r>
    </w:p>
    <w:p w:rsidR="00000000" w:rsidDel="00000000" w:rsidP="00000000" w:rsidRDefault="00000000" w:rsidRPr="00000000" w14:paraId="00000015">
      <w:pPr>
        <w:numPr>
          <w:ilvl w:val="0"/>
          <w:numId w:val="1"/>
        </w:numPr>
        <w:spacing w:after="20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I note this distinction because the effectiveness of Clause 8 depends partly on how collected funds are deployed. </w:t>
      </w:r>
    </w:p>
    <w:p w:rsidR="00000000" w:rsidDel="00000000" w:rsidP="00000000" w:rsidRDefault="00000000" w:rsidRPr="00000000" w14:paraId="00000016">
      <w:pPr>
        <w:numPr>
          <w:ilvl w:val="0"/>
          <w:numId w:val="1"/>
        </w:numPr>
        <w:spacing w:after="200" w:afterAutospacing="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From a practitioner perspective, the primary barrier to regional connectivity expansion is not technical capability but capital access. Traditional lenders routinely classify rural telecommunications infrastructure as illiquid assets, ineligible for use as collateral. This contributes to structural exclusion and under-investment that TDL allocation frameworks could address, but currently do not.</w:t>
      </w:r>
    </w:p>
    <w:p w:rsidR="00000000" w:rsidDel="00000000" w:rsidP="00000000" w:rsidRDefault="00000000" w:rsidRPr="00000000" w14:paraId="00000017">
      <w:pPr>
        <w:numPr>
          <w:ilvl w:val="0"/>
          <w:numId w:val="1"/>
        </w:numPr>
        <w:spacing w:after="240" w:before="200" w:beforeAutospacing="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This is offered as context, not as a criticism of the Bill's scope.</w:t>
      </w:r>
    </w:p>
    <w:p w:rsidR="00000000" w:rsidDel="00000000" w:rsidP="00000000" w:rsidRDefault="00000000" w:rsidRPr="00000000" w14:paraId="00000018">
      <w:pPr>
        <w:pStyle w:val="Heading2"/>
        <w:keepNext w:val="0"/>
        <w:keepLines w:val="0"/>
        <w:spacing w:before="280" w:lineRule="auto"/>
        <w:ind w:left="1440" w:firstLine="0"/>
        <w:rPr>
          <w:color w:val="434343"/>
        </w:rPr>
      </w:pPr>
      <w:bookmarkStart w:colFirst="0" w:colLast="0" w:name="_heading=h.1xcttp10sxtf" w:id="4"/>
      <w:bookmarkEnd w:id="4"/>
      <w:r w:rsidDel="00000000" w:rsidR="00000000" w:rsidRPr="00000000">
        <w:rPr>
          <w:color w:val="434343"/>
          <w:rtl w:val="0"/>
        </w:rPr>
        <w:t xml:space="preserve">3.2 </w:t>
      </w:r>
      <w:r w:rsidDel="00000000" w:rsidR="00000000" w:rsidRPr="00000000">
        <w:rPr>
          <w:color w:val="434343"/>
          <w:rtl w:val="0"/>
        </w:rPr>
        <w:t xml:space="preserve">Acute Risk</w:t>
      </w:r>
      <w:r w:rsidDel="00000000" w:rsidR="00000000" w:rsidRPr="00000000">
        <w:rPr>
          <w:color w:val="434343"/>
          <w:rtl w:val="0"/>
        </w:rPr>
        <w:t xml:space="preserve"> to Domestic Terrestrial Capacity</w:t>
      </w:r>
    </w:p>
    <w:p w:rsidR="00000000" w:rsidDel="00000000" w:rsidP="00000000" w:rsidRDefault="00000000" w:rsidRPr="00000000" w14:paraId="00000019">
      <w:pPr>
        <w:numPr>
          <w:ilvl w:val="0"/>
          <w:numId w:val="1"/>
        </w:numPr>
        <w:spacing w:after="20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 market context for Clause 8 is significant. Copper services are being deregulated (and withdrawn) on the basis that LEO satellite </w:t>
      </w:r>
      <w:r w:rsidDel="00000000" w:rsidR="00000000" w:rsidRPr="00000000">
        <w:rPr>
          <w:rFonts w:ascii="Work Sans Light" w:cs="Work Sans Light" w:eastAsia="Work Sans Light" w:hAnsi="Work Sans Light"/>
          <w:i w:val="1"/>
          <w:iCs w:val="1"/>
          <w:rtl w:val="0"/>
        </w:rPr>
        <w:t xml:space="preserve">and</w:t>
      </w:r>
      <w:r w:rsidDel="00000000" w:rsidR="00000000" w:rsidRPr="00000000">
        <w:rPr>
          <w:rFonts w:ascii="Work Sans Light" w:cs="Work Sans Light" w:eastAsia="Work Sans Light" w:hAnsi="Work Sans Light"/>
          <w:rtl w:val="0"/>
        </w:rPr>
        <w:t xml:space="preserve"> fixed wireless provide sufficient alternative competition. Starlink is expanding rapidly, with its New Zealand revenue growing from $73 million in 2023/24 to over $100 million in 2024/25. Amazon Leo will be launching soon.</w:t>
      </w:r>
    </w:p>
    <w:p w:rsidR="00000000" w:rsidDel="00000000" w:rsidP="00000000" w:rsidRDefault="00000000" w:rsidRPr="00000000" w14:paraId="0000001A">
      <w:pPr>
        <w:numPr>
          <w:ilvl w:val="0"/>
          <w:numId w:val="1"/>
        </w:numPr>
        <w:spacing w:after="20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These market shifts are placing acute pressure on regional terrestrial providers, as evidenced by the recent collapse of Evolution Networks, a wireless ISP in the Bay of Plenty, which entered liquidation in October 2025. </w:t>
      </w:r>
    </w:p>
    <w:p w:rsidR="00000000" w:rsidDel="00000000" w:rsidP="00000000" w:rsidRDefault="00000000" w:rsidRPr="00000000" w14:paraId="0000001B">
      <w:pPr>
        <w:numPr>
          <w:ilvl w:val="0"/>
          <w:numId w:val="1"/>
        </w:numPr>
        <w:spacing w:after="20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 Feasey Report</w:t>
      </w:r>
      <w:r w:rsidDel="00000000" w:rsidR="00000000" w:rsidRPr="00000000">
        <w:rPr>
          <w:rFonts w:ascii="Work Sans Light" w:cs="Work Sans Light" w:eastAsia="Work Sans Light" w:hAnsi="Work Sans Light"/>
          <w:vertAlign w:val="superscript"/>
        </w:rPr>
        <w:footnoteReference w:customMarkFollows="0" w:id="0"/>
      </w:r>
      <w:r w:rsidDel="00000000" w:rsidR="00000000" w:rsidRPr="00000000">
        <w:rPr>
          <w:rFonts w:ascii="Work Sans Light" w:cs="Work Sans Light" w:eastAsia="Work Sans Light" w:hAnsi="Work Sans Light"/>
          <w:rtl w:val="0"/>
        </w:rPr>
        <w:t xml:space="preserve"> (October 2025), an independent review commissioned by the Commerce Commission, describes the wireless ISP sector as “sub-scale” and warns of a “material risk” that Starlink soon becomes the dominant or monopoly supplier in rural areas. It recommends that TDL funding be expanded and made available to a broader range of providers as part of the response.</w:t>
      </w:r>
    </w:p>
    <w:p w:rsidR="00000000" w:rsidDel="00000000" w:rsidP="00000000" w:rsidRDefault="00000000" w:rsidRPr="00000000" w14:paraId="0000001C">
      <w:pPr>
        <w:numPr>
          <w:ilvl w:val="0"/>
          <w:numId w:val="1"/>
        </w:numPr>
        <w:spacing w:after="20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To date, no changes to allocation frameworks have been announced in response.</w:t>
      </w:r>
    </w:p>
    <w:p w:rsidR="00000000" w:rsidDel="00000000" w:rsidP="00000000" w:rsidRDefault="00000000" w:rsidRPr="00000000" w14:paraId="0000001D">
      <w:pPr>
        <w:numPr>
          <w:ilvl w:val="0"/>
          <w:numId w:val="1"/>
        </w:numPr>
        <w:spacing w:after="200" w:before="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 technology to compete exists. Modern wireless platforms can deliver speeds exceeding 1 Gbps. Demand exists. What does not exist is access to capital for regional providers to deploy these technologies at scale.</w:t>
      </w:r>
    </w:p>
    <w:p w:rsidR="00000000" w:rsidDel="00000000" w:rsidP="00000000" w:rsidRDefault="00000000" w:rsidRPr="00000000" w14:paraId="0000001E">
      <w:pPr>
        <w:numPr>
          <w:ilvl w:val="0"/>
          <w:numId w:val="1"/>
        </w:numPr>
        <w:spacing w:after="200" w:before="0" w:lineRule="auto"/>
        <w:ind w:left="720" w:hanging="360"/>
        <w:rPr>
          <w:rFonts w:ascii="Work Sans Light" w:cs="Work Sans Light" w:eastAsia="Work Sans Light" w:hAnsi="Work Sans Light"/>
          <w:u w:val="none"/>
        </w:rPr>
      </w:pPr>
      <w:r w:rsidDel="00000000" w:rsidR="00000000" w:rsidRPr="00000000">
        <w:rPr>
          <w:rFonts w:ascii="Work Sans Light" w:cs="Work Sans Light" w:eastAsia="Work Sans Light" w:hAnsi="Work Sans Light"/>
          <w:rtl w:val="0"/>
        </w:rPr>
        <w:t xml:space="preserve">When a regional provider exits the market, that infrastructure is lost. Towers are decommissioned. Spectrum goes unused. Local technical capability disperses. These networks do not return. For rural consumers, this means more than just a change of ISP. It means losing a local support contact, a physical service presence, and meaningful price competition. A market served by a single, or duopoly of foreign providers offers no alternative when service or pricing deteriorates, or when security risks are presented.</w:t>
      </w:r>
    </w:p>
    <w:p w:rsidR="00000000" w:rsidDel="00000000" w:rsidP="00000000" w:rsidRDefault="00000000" w:rsidRPr="00000000" w14:paraId="0000001F">
      <w:pPr>
        <w:numPr>
          <w:ilvl w:val="0"/>
          <w:numId w:val="1"/>
        </w:numPr>
        <w:spacing w:after="20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If domestic terrestrial alternatives continue to exit due to capital constraints while copper is simultaneously withdrawn, New Zealand's rural telecommunications risks becoming entirely dependent on foreign-controlled LEO satellite providers. While satellite offers welcomed competition and serves many customers well, this dependence carries a significant national policy risk. </w:t>
      </w:r>
      <w:r w:rsidDel="00000000" w:rsidR="00000000" w:rsidRPr="00000000">
        <w:rPr>
          <w:rFonts w:ascii="Work Sans" w:cs="Work Sans" w:eastAsia="Work Sans" w:hAnsi="Work Sans"/>
          <w:i w:val="1"/>
          <w:iCs w:val="1"/>
          <w:rtl w:val="0"/>
        </w:rPr>
        <w:t xml:space="preserve">Domestically owned terrestrial capacity provides resilience, local employment, and regulatory leverage that a market served exclusively by foreign satellite providers does not.</w:t>
      </w:r>
    </w:p>
    <w:p w:rsidR="00000000" w:rsidDel="00000000" w:rsidP="00000000" w:rsidRDefault="00000000" w:rsidRPr="00000000" w14:paraId="00000020">
      <w:pPr>
        <w:numPr>
          <w:ilvl w:val="0"/>
          <w:numId w:val="1"/>
        </w:numPr>
        <w:spacing w:after="20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Ensuring TDL allocation frameworks actively support infrastructure diversity is therefore critical.</w:t>
      </w:r>
    </w:p>
    <w:p w:rsidR="00000000" w:rsidDel="00000000" w:rsidP="00000000" w:rsidRDefault="00000000" w:rsidRPr="00000000" w14:paraId="00000021">
      <w:pPr>
        <w:pStyle w:val="Heading2"/>
        <w:spacing w:before="360" w:lineRule="auto"/>
        <w:rPr>
          <w:color w:val="434343"/>
        </w:rPr>
      </w:pPr>
      <w:bookmarkStart w:colFirst="0" w:colLast="0" w:name="_heading=h.xsezj2wkdvvr" w:id="5"/>
      <w:bookmarkEnd w:id="5"/>
      <w:r w:rsidDel="00000000" w:rsidR="00000000" w:rsidRPr="00000000">
        <w:rPr>
          <w:color w:val="434343"/>
          <w:rtl w:val="0"/>
        </w:rPr>
        <w:t xml:space="preserve">4. Recommendations</w:t>
      </w:r>
    </w:p>
    <w:p w:rsidR="00000000" w:rsidDel="00000000" w:rsidP="00000000" w:rsidRDefault="00000000" w:rsidRPr="00000000" w14:paraId="00000022">
      <w:pPr>
        <w:numPr>
          <w:ilvl w:val="0"/>
          <w:numId w:val="1"/>
        </w:numPr>
        <w:spacing w:after="200" w:afterAutospacing="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I support Clauses 8 and 12.</w:t>
      </w:r>
    </w:p>
    <w:p w:rsidR="00000000" w:rsidDel="00000000" w:rsidP="00000000" w:rsidRDefault="00000000" w:rsidRPr="00000000" w14:paraId="00000023">
      <w:pPr>
        <w:numPr>
          <w:ilvl w:val="0"/>
          <w:numId w:val="1"/>
        </w:numPr>
        <w:spacing w:after="240" w:before="200" w:beforeAutospacing="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In relation to Clause 8, I recommend that the Committee consider noting in its report to the house:</w:t>
      </w:r>
    </w:p>
    <w:p w:rsidR="00000000" w:rsidDel="00000000" w:rsidP="00000000" w:rsidRDefault="00000000" w:rsidRPr="00000000" w14:paraId="00000024">
      <w:pPr>
        <w:spacing w:after="240" w:before="240" w:lineRule="auto"/>
        <w:ind w:left="720" w:firstLine="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(a) That the effectiveness of TDL flexibility depends partly on allocation frameworks, which are not addressed in this Bill; and</w:t>
      </w:r>
    </w:p>
    <w:p w:rsidR="00000000" w:rsidDel="00000000" w:rsidP="00000000" w:rsidRDefault="00000000" w:rsidRPr="00000000" w14:paraId="00000025">
      <w:pPr>
        <w:spacing w:after="200" w:before="0" w:lineRule="auto"/>
        <w:ind w:left="720" w:firstLine="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(b) That the government may wish to review TDL allocation criteria in a timely manner alongside the collection changes to ensure the levy supports domestic infrastructure resilience and diversity.</w:t>
      </w:r>
    </w:p>
    <w:p w:rsidR="00000000" w:rsidDel="00000000" w:rsidP="00000000" w:rsidRDefault="00000000" w:rsidRPr="00000000" w14:paraId="00000026">
      <w:pPr>
        <w:numPr>
          <w:ilvl w:val="0"/>
          <w:numId w:val="1"/>
        </w:numPr>
        <w:spacing w:after="24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This would provide useful guidance without requiring amendment to the Bill.</w:t>
      </w:r>
      <w:r w:rsidDel="00000000" w:rsidR="00000000" w:rsidRPr="00000000">
        <w:rPr>
          <w:rtl w:val="0"/>
        </w:rPr>
      </w:r>
    </w:p>
    <w:p w:rsidR="00000000" w:rsidDel="00000000" w:rsidP="00000000" w:rsidRDefault="00000000" w:rsidRPr="00000000" w14:paraId="00000027">
      <w:pPr>
        <w:pStyle w:val="Heading2"/>
        <w:spacing w:before="360" w:lineRule="auto"/>
        <w:rPr>
          <w:color w:val="434343"/>
        </w:rPr>
      </w:pPr>
      <w:bookmarkStart w:colFirst="0" w:colLast="0" w:name="_heading=h.fvduqt2olt38" w:id="6"/>
      <w:bookmarkEnd w:id="6"/>
      <w:r w:rsidDel="00000000" w:rsidR="00000000" w:rsidRPr="00000000">
        <w:rPr>
          <w:color w:val="434343"/>
          <w:rtl w:val="0"/>
        </w:rPr>
        <w:t xml:space="preserve">5. Conclusion</w:t>
      </w:r>
    </w:p>
    <w:p w:rsidR="00000000" w:rsidDel="00000000" w:rsidP="00000000" w:rsidRDefault="00000000" w:rsidRPr="00000000" w14:paraId="00000028">
      <w:pPr>
        <w:numPr>
          <w:ilvl w:val="0"/>
          <w:numId w:val="1"/>
        </w:numPr>
        <w:spacing w:after="24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The Bill makes sensible, targeted improvements to telecommunications regulation. Clause 12 provides investment certainty for fibre deployment. Clause 8 enables responsive levy-setting in a changing market.</w:t>
      </w:r>
    </w:p>
    <w:p w:rsidR="00000000" w:rsidDel="00000000" w:rsidP="00000000" w:rsidRDefault="00000000" w:rsidRPr="00000000" w14:paraId="00000029">
      <w:pPr>
        <w:numPr>
          <w:ilvl w:val="0"/>
          <w:numId w:val="1"/>
        </w:numPr>
        <w:spacing w:after="24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My submission is offered in the spirit of ensuring these mechanisms achieve their intended purpose: a telecommunications sector that serves all New Zealanders, including those in areas where market conditions alone do not sustain competitive supply.</w:t>
      </w:r>
      <w:r w:rsidDel="00000000" w:rsidR="00000000" w:rsidRPr="00000000">
        <w:drawing>
          <wp:anchor allowOverlap="1" behindDoc="0" distB="114300" distT="114300" distL="114300" distR="114300" hidden="0" layoutInCell="1" locked="0" relativeHeight="0" simplePos="0">
            <wp:simplePos x="0" y="0"/>
            <wp:positionH relativeFrom="column">
              <wp:posOffset>-847724</wp:posOffset>
            </wp:positionH>
            <wp:positionV relativeFrom="paragraph">
              <wp:posOffset>343958</wp:posOffset>
            </wp:positionV>
            <wp:extent cx="3881438" cy="2891901"/>
            <wp:effectExtent b="0" l="0" r="0" t="0"/>
            <wp:wrapNone/>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3881438" cy="2891901"/>
                    </a:xfrm>
                    <a:prstGeom prst="rect"/>
                    <a:ln/>
                  </pic:spPr>
                </pic:pic>
              </a:graphicData>
            </a:graphic>
          </wp:anchor>
        </w:drawing>
      </w:r>
    </w:p>
    <w:p w:rsidR="00000000" w:rsidDel="00000000" w:rsidP="00000000" w:rsidRDefault="00000000" w:rsidRPr="00000000" w14:paraId="0000002A">
      <w:pPr>
        <w:numPr>
          <w:ilvl w:val="0"/>
          <w:numId w:val="1"/>
        </w:numPr>
        <w:spacing w:after="240" w:before="240" w:lineRule="auto"/>
        <w:ind w:left="720" w:hanging="360"/>
        <w:rPr>
          <w:rFonts w:ascii="Work Sans Light" w:cs="Work Sans Light" w:eastAsia="Work Sans Light" w:hAnsi="Work Sans Light"/>
        </w:rPr>
      </w:pPr>
      <w:r w:rsidDel="00000000" w:rsidR="00000000" w:rsidRPr="00000000">
        <w:rPr>
          <w:rFonts w:ascii="Work Sans Light" w:cs="Work Sans Light" w:eastAsia="Work Sans Light" w:hAnsi="Work Sans Light"/>
          <w:rtl w:val="0"/>
        </w:rPr>
        <w:t xml:space="preserve">I welcome the opportunity to discuss these points with the Committee.</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ind w:left="720" w:firstLine="0"/>
        <w:rPr>
          <w:rFonts w:ascii="Work Sans" w:cs="Work Sans" w:eastAsia="Work Sans" w:hAnsi="Work Sans"/>
        </w:rPr>
      </w:pPr>
      <w:r w:rsidDel="00000000" w:rsidR="00000000" w:rsidRPr="00000000">
        <w:rPr>
          <w:rFonts w:ascii="Work Sans" w:cs="Work Sans" w:eastAsia="Work Sans" w:hAnsi="Work Sans"/>
          <w:rtl w:val="0"/>
        </w:rPr>
        <w:t xml:space="preserve">Alex Stewart</w:t>
      </w:r>
    </w:p>
    <w:p w:rsidR="00000000" w:rsidDel="00000000" w:rsidP="00000000" w:rsidRDefault="00000000" w:rsidRPr="00000000" w14:paraId="00000031">
      <w:pPr>
        <w:ind w:left="720" w:firstLine="0"/>
        <w:rPr>
          <w:rFonts w:ascii="Work Sans" w:cs="Work Sans" w:eastAsia="Work Sans" w:hAnsi="Work Sans"/>
        </w:rPr>
      </w:pPr>
      <w:r w:rsidDel="00000000" w:rsidR="00000000" w:rsidRPr="00000000">
        <w:rPr>
          <w:rFonts w:ascii="Work Sans" w:cs="Work Sans" w:eastAsia="Work Sans" w:hAnsi="Work Sans"/>
          <w:rtl w:val="0"/>
        </w:rPr>
        <w:t xml:space="preserve">Founder &amp; Managing Director</w:t>
      </w:r>
    </w:p>
    <w:p w:rsidR="00000000" w:rsidDel="00000000" w:rsidP="00000000" w:rsidRDefault="00000000" w:rsidRPr="00000000" w14:paraId="00000032">
      <w:pPr>
        <w:ind w:left="720" w:firstLine="0"/>
        <w:rPr>
          <w:rFonts w:ascii="Work Sans" w:cs="Work Sans" w:eastAsia="Work Sans" w:hAnsi="Work Sans"/>
        </w:rPr>
      </w:pPr>
      <w:r w:rsidDel="00000000" w:rsidR="00000000" w:rsidRPr="00000000">
        <w:rPr>
          <w:rFonts w:ascii="Work Sans" w:cs="Work Sans" w:eastAsia="Work Sans" w:hAnsi="Work Sans"/>
          <w:rtl w:val="0"/>
        </w:rPr>
        <w:t xml:space="preserve">WombatNET Limited</w:t>
      </w:r>
    </w:p>
    <w:p w:rsidR="00000000" w:rsidDel="00000000" w:rsidP="00000000" w:rsidRDefault="00000000" w:rsidRPr="00000000" w14:paraId="00000033">
      <w:pPr>
        <w:ind w:left="720" w:firstLine="0"/>
        <w:rPr>
          <w:rFonts w:ascii="Work Sans" w:cs="Work Sans" w:eastAsia="Work Sans" w:hAnsi="Work Sans"/>
        </w:rPr>
      </w:pPr>
      <w:r w:rsidDel="00000000" w:rsidR="00000000" w:rsidRPr="00000000">
        <w:rPr>
          <w:rtl w:val="0"/>
        </w:rPr>
      </w:r>
    </w:p>
    <w:p w:rsidR="00000000" w:rsidDel="00000000" w:rsidP="00000000" w:rsidRDefault="00000000" w:rsidRPr="00000000" w14:paraId="00000034">
      <w:pPr>
        <w:ind w:left="720" w:firstLine="0"/>
        <w:rPr>
          <w:rFonts w:ascii="Work Sans" w:cs="Work Sans" w:eastAsia="Work Sans" w:hAnsi="Work Sans"/>
        </w:rPr>
      </w:pPr>
      <w:r w:rsidDel="00000000" w:rsidR="00000000" w:rsidRPr="00000000">
        <w:rPr>
          <w:rFonts w:ascii="Work Sans" w:cs="Work Sans" w:eastAsia="Work Sans" w:hAnsi="Work Sans"/>
          <w:rtl w:val="0"/>
        </w:rPr>
        <w:t xml:space="preserve">wombatnet.co.nz</w:t>
      </w:r>
    </w:p>
    <w:sectPr>
      <w:headerReference r:id="rId10" w:type="default"/>
      <w:footerReference r:id="rId11" w:type="default"/>
      <w:footerReference r:id="rId12" w:type="even"/>
      <w:pgSz w:h="16838" w:w="11906" w:orient="portrait"/>
      <w:pgMar w:bottom="1440" w:top="1296" w:left="1152" w:right="1152"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Work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Work Sans SemiBold">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Work Sans Light">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8">
    <w:pPr>
      <w:ind w:right="360" w:firstLine="360"/>
      <w:rPr>
        <w:b w:val="1"/>
        <w:bCs w:val="1"/>
        <w:color w:val="4ea72e"/>
      </w:rPr>
    </w:pPr>
    <w:r w:rsidDel="00000000" w:rsidR="00000000" w:rsidRPr="00000000">
      <w:rPr>
        <w:b w:val="1"/>
        <w:bCs w:val="1"/>
        <w:color w:val="4ea72e"/>
        <w:highlight w:val="black"/>
        <w:rtl w:val="0"/>
      </w:rPr>
      <w:t xml:space="preserve">TLP: GREEN</w:t>
    </w:r>
    <w:r w:rsidDel="00000000" w:rsidR="00000000" w:rsidRPr="00000000">
      <w:rPr>
        <w:b w:val="1"/>
        <w:bCs w:val="1"/>
        <w:color w:val="4ea72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B">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Richard Feasey, Review of the Telecommunications Act 2001 (Commerce Commission, October 2025)</w:t>
        </w:r>
      </w:hyperlink>
      <w:r w:rsidDel="00000000" w:rsidR="00000000" w:rsidRPr="00000000">
        <w:rPr>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NZ"/>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595959"/>
      <w:sz w:val="40"/>
      <w:szCs w:val="40"/>
    </w:rPr>
  </w:style>
  <w:style w:type="paragraph" w:styleId="Heading2">
    <w:name w:val="heading 2"/>
    <w:basedOn w:val="Normal"/>
    <w:next w:val="Normal"/>
    <w:pPr>
      <w:keepNext w:val="1"/>
      <w:keepLines w:val="1"/>
      <w:spacing w:after="80" w:before="360" w:lineRule="auto"/>
      <w:ind w:left="720" w:firstLine="0"/>
    </w:pPr>
    <w:rPr>
      <w:rFonts w:ascii="Play" w:cs="Play" w:eastAsia="Play" w:hAnsi="Play"/>
      <w:b w:val="1"/>
      <w:bCs w:val="1"/>
      <w:color w:val="595959"/>
      <w:sz w:val="34"/>
      <w:szCs w:val="34"/>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7A1F5B"/>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A1F5B"/>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A1F5B"/>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A1F5B"/>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A1F5B"/>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A1F5B"/>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A1F5B"/>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A1F5B"/>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A1F5B"/>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A1F5B"/>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A1F5B"/>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A1F5B"/>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7A1F5B"/>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7A1F5B"/>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A1F5B"/>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7A1F5B"/>
    <w:rPr>
      <w:i w:val="1"/>
      <w:iCs w:val="1"/>
      <w:color w:val="404040" w:themeColor="text1" w:themeTint="0000BF"/>
    </w:rPr>
  </w:style>
  <w:style w:type="paragraph" w:styleId="ListParagraph">
    <w:name w:val="List Paragraph"/>
    <w:basedOn w:val="Normal"/>
    <w:uiPriority w:val="34"/>
    <w:qFormat w:val="1"/>
    <w:rsid w:val="007A1F5B"/>
    <w:pPr>
      <w:ind w:left="720"/>
      <w:contextualSpacing w:val="1"/>
    </w:pPr>
  </w:style>
  <w:style w:type="character" w:styleId="IntenseEmphasis">
    <w:name w:val="Intense Emphasis"/>
    <w:basedOn w:val="DefaultParagraphFont"/>
    <w:uiPriority w:val="21"/>
    <w:qFormat w:val="1"/>
    <w:rsid w:val="007A1F5B"/>
    <w:rPr>
      <w:i w:val="1"/>
      <w:iCs w:val="1"/>
      <w:color w:val="0f4761" w:themeColor="accent1" w:themeShade="0000BF"/>
    </w:rPr>
  </w:style>
  <w:style w:type="paragraph" w:styleId="IntenseQuote">
    <w:name w:val="Intense Quote"/>
    <w:basedOn w:val="Normal"/>
    <w:next w:val="Normal"/>
    <w:link w:val="IntenseQuoteChar"/>
    <w:uiPriority w:val="30"/>
    <w:qFormat w:val="1"/>
    <w:rsid w:val="007A1F5B"/>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A1F5B"/>
    <w:rPr>
      <w:i w:val="1"/>
      <w:iCs w:val="1"/>
      <w:color w:val="0f4761" w:themeColor="accent1" w:themeShade="0000BF"/>
    </w:rPr>
  </w:style>
  <w:style w:type="character" w:styleId="IntenseReference">
    <w:name w:val="Intense Reference"/>
    <w:basedOn w:val="DefaultParagraphFont"/>
    <w:uiPriority w:val="32"/>
    <w:qFormat w:val="1"/>
    <w:rsid w:val="007A1F5B"/>
    <w:rPr>
      <w:b w:val="1"/>
      <w:bCs w:val="1"/>
      <w:smallCaps w:val="1"/>
      <w:color w:val="0f4761" w:themeColor="accent1" w:themeShade="0000BF"/>
      <w:spacing w:val="5"/>
    </w:rPr>
  </w:style>
  <w:style w:type="paragraph" w:styleId="Header">
    <w:name w:val="header"/>
    <w:basedOn w:val="Normal"/>
    <w:link w:val="HeaderChar"/>
    <w:uiPriority w:val="99"/>
    <w:unhideWhenUsed w:val="1"/>
    <w:rsid w:val="00AC2C2D"/>
    <w:pPr>
      <w:tabs>
        <w:tab w:val="center" w:pos="4513"/>
        <w:tab w:val="right" w:pos="9026"/>
      </w:tabs>
    </w:pPr>
  </w:style>
  <w:style w:type="character" w:styleId="HeaderChar" w:customStyle="1">
    <w:name w:val="Header Char"/>
    <w:basedOn w:val="DefaultParagraphFont"/>
    <w:link w:val="Header"/>
    <w:uiPriority w:val="99"/>
    <w:rsid w:val="00AC2C2D"/>
  </w:style>
  <w:style w:type="paragraph" w:styleId="Footer">
    <w:name w:val="footer"/>
    <w:basedOn w:val="Normal"/>
    <w:link w:val="FooterChar"/>
    <w:uiPriority w:val="99"/>
    <w:unhideWhenUsed w:val="1"/>
    <w:rsid w:val="00AC2C2D"/>
    <w:pPr>
      <w:tabs>
        <w:tab w:val="center" w:pos="4513"/>
        <w:tab w:val="right" w:pos="9026"/>
      </w:tabs>
    </w:pPr>
  </w:style>
  <w:style w:type="character" w:styleId="FooterChar" w:customStyle="1">
    <w:name w:val="Footer Char"/>
    <w:basedOn w:val="DefaultParagraphFont"/>
    <w:link w:val="Footer"/>
    <w:uiPriority w:val="99"/>
    <w:rsid w:val="00AC2C2D"/>
  </w:style>
  <w:style w:type="character" w:styleId="PageNumber">
    <w:name w:val="page number"/>
    <w:basedOn w:val="DefaultParagraphFont"/>
    <w:uiPriority w:val="99"/>
    <w:semiHidden w:val="1"/>
    <w:unhideWhenUsed w:val="1"/>
    <w:rsid w:val="00AC2C2D"/>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customXml" Target="../customXML/item2.xml"/></Relationships>
</file>

<file path=word/_rels/fontTable.xml.rels><?xml version="1.0" encoding="UTF-8" standalone="yes"?><Relationships xmlns="http://schemas.openxmlformats.org/package/2006/relationships"><Relationship Id="rId11" Type="http://schemas.openxmlformats.org/officeDocument/2006/relationships/font" Target="fonts/WorkSansLight-regular.ttf"/><Relationship Id="rId10" Type="http://schemas.openxmlformats.org/officeDocument/2006/relationships/font" Target="fonts/WorkSansSemiBold-boldItalic.ttf"/><Relationship Id="rId13" Type="http://schemas.openxmlformats.org/officeDocument/2006/relationships/font" Target="fonts/WorkSansLight-italic.ttf"/><Relationship Id="rId12" Type="http://schemas.openxmlformats.org/officeDocument/2006/relationships/font" Target="fonts/WorkSansLight-bold.ttf"/><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WorkSans-regular.ttf"/><Relationship Id="rId4" Type="http://schemas.openxmlformats.org/officeDocument/2006/relationships/font" Target="fonts/WorkSans-bold.ttf"/><Relationship Id="rId9" Type="http://schemas.openxmlformats.org/officeDocument/2006/relationships/font" Target="fonts/WorkSansSemiBold-italic.ttf"/><Relationship Id="rId14" Type="http://schemas.openxmlformats.org/officeDocument/2006/relationships/font" Target="fonts/WorkSansLight-boldItalic.ttf"/><Relationship Id="rId5" Type="http://schemas.openxmlformats.org/officeDocument/2006/relationships/font" Target="fonts/WorkSans-italic.ttf"/><Relationship Id="rId6" Type="http://schemas.openxmlformats.org/officeDocument/2006/relationships/font" Target="fonts/WorkSans-boldItalic.ttf"/><Relationship Id="rId7" Type="http://schemas.openxmlformats.org/officeDocument/2006/relationships/font" Target="fonts/WorkSansSemiBold-regular.ttf"/><Relationship Id="rId8" Type="http://schemas.openxmlformats.org/officeDocument/2006/relationships/font" Target="fonts/WorkSansSemiBold-bold.ttf"/></Relationships>
</file>

<file path=word/_rels/footnotes.xml.rels><?xml version="1.0" encoding="UTF-8" standalone="yes"?><Relationships xmlns="http://schemas.openxmlformats.org/package/2006/relationships"><Relationship Id="rId1" Type="http://schemas.openxmlformats.org/officeDocument/2006/relationships/hyperlink" Target="https://www.comcom.govt.nz/assets/Uploads/Feasey-Telecommunication-Regulation-in-NZ-6-October-202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StyleName="Chicago" SelectedStyle="/Chicago.xsl" Version="16">
  <b:Source>
    <b:Tag>source1</b:Tag>
    <b:SourceType>DocumentFromInternetSite</b:SourceType>
    <b:Day>9</b:Day>
    <b:DayAccessed>10</b:DayAccessed>
    <b:Month>10</b:Month>
    <b:MonthAccessed>1</b:MonthAccessed>
    <b:ShortTitle>Feasey Report - Oct 25</b:ShortTitle>
    <b:Title>Recommendations for telecommunications regulation in New Zealand - A report for the Commerce Commission</b:Title>
    <b:URL>https://www.comcom.govt.nz/regulated-industries/telecommunications/monitoring-the-telecommunications-market/topic-papers-other-reports-and-studies/feasey-report-on-telecommunications-regulation-in-nz/</b:URL>
    <b:InternetSiteTitle>Feasey report on telecommunications regulation in NZ</b:InternetSiteTitle>
    <b:Year>2025</b:Year>
    <b:YearAccessed>2026</b:YearAccessed>
    <b:Gdcea>{"CorporateAuthors":["Commerce Commission"],"AccessedType":"Website"}</b:Gdcea>
    <b:Author>
      <b:Author>
        <b:NameList>
          <b:Person>
            <b:First>Richard</b:First>
            <b:Last>Feasy</b:Last>
          </b:Person>
        </b:NameList>
      </b:Author>
    </b:Author>
  </b:Source>
</b:Sourc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558t52M8aK17ACgNJDRuEv4K/w==">CgMxLjAyDmgubzFoa2Flb2ZvZzBxMg5oLm80aXg1Mm92dXV4cjIOaC44cnFkc3JvM2VsMHgyDmgucjhsejd0bXlsNXF5Mg5oLjF4Y3R0cDEwc3h0ZjIOaC54c2V6ajJ3a2R2dnIyDmguZnZkdXF0Mm9sdDM4OAByITFrMDJ2NVFEMzlHUk5TTE1lQW5jWVZITmhGQWxxX2ktWA==</go:docsCustomData>
</go:gDocsCustomXmlDataStorage>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2024-06-18T04:53:00Z</dcterms:created>
  <dc:creator>Alex Stewart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Alex Stewart</vt:lpwstr>
  </property>
</Properties>
</file>